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A3" w:rsidRPr="00010D07" w:rsidRDefault="000330A3" w:rsidP="000330A3">
      <w:pPr>
        <w:pStyle w:val="ConsPlusNormal"/>
        <w:ind w:firstLine="540"/>
        <w:jc w:val="both"/>
        <w:rPr>
          <w:rFonts w:ascii="Cambria" w:hAnsi="Cambria" w:cs="Times New Roman"/>
        </w:rPr>
      </w:pPr>
    </w:p>
    <w:p w:rsidR="000330A3" w:rsidRPr="00010D07" w:rsidRDefault="00010D07" w:rsidP="000330A3">
      <w:pPr>
        <w:pStyle w:val="ConsPlusNormal"/>
        <w:jc w:val="center"/>
        <w:rPr>
          <w:rFonts w:ascii="Cambria" w:hAnsi="Cambria" w:cs="Times New Roman"/>
          <w:b/>
          <w:bCs/>
        </w:rPr>
      </w:pPr>
      <w:bookmarkStart w:id="0" w:name="Par193"/>
      <w:bookmarkEnd w:id="0"/>
      <w:r w:rsidRPr="00010D07">
        <w:rPr>
          <w:rFonts w:ascii="Cambria" w:hAnsi="Cambria" w:cs="Times New Roman"/>
          <w:b/>
          <w:bCs/>
        </w:rPr>
        <w:t>Показатели</w:t>
      </w:r>
    </w:p>
    <w:p w:rsidR="000330A3" w:rsidRPr="00010D07" w:rsidRDefault="00010D07" w:rsidP="000330A3">
      <w:pPr>
        <w:pStyle w:val="ConsPlusNormal"/>
        <w:jc w:val="center"/>
        <w:rPr>
          <w:rFonts w:ascii="Cambria" w:hAnsi="Cambria" w:cs="Times New Roman"/>
          <w:b/>
          <w:bCs/>
        </w:rPr>
      </w:pPr>
      <w:r w:rsidRPr="00010D07">
        <w:rPr>
          <w:rFonts w:ascii="Cambria" w:hAnsi="Cambria" w:cs="Times New Roman"/>
          <w:b/>
          <w:bCs/>
        </w:rPr>
        <w:t>деятельности МКОУ СОШ пгт Верхошижемье Кировской области имени И.С. Березина,</w:t>
      </w:r>
    </w:p>
    <w:p w:rsidR="000330A3" w:rsidRPr="00010D07" w:rsidRDefault="00010D07" w:rsidP="000330A3">
      <w:pPr>
        <w:pStyle w:val="ConsPlusNormal"/>
        <w:jc w:val="center"/>
        <w:rPr>
          <w:rFonts w:ascii="Cambria" w:hAnsi="Cambria" w:cs="Times New Roman"/>
          <w:b/>
          <w:bCs/>
        </w:rPr>
      </w:pPr>
      <w:r w:rsidRPr="00010D07">
        <w:rPr>
          <w:rFonts w:ascii="Cambria" w:hAnsi="Cambria" w:cs="Times New Roman"/>
          <w:b/>
          <w:bCs/>
        </w:rPr>
        <w:t>подлежащей самообследованию</w:t>
      </w:r>
    </w:p>
    <w:p w:rsidR="00010D07" w:rsidRPr="00010D07" w:rsidRDefault="00010D07" w:rsidP="000330A3">
      <w:pPr>
        <w:pStyle w:val="ConsPlusNormal"/>
        <w:jc w:val="center"/>
        <w:rPr>
          <w:rFonts w:ascii="Cambria" w:hAnsi="Cambria" w:cs="Times New Roman"/>
          <w:b/>
          <w:bCs/>
        </w:rPr>
      </w:pPr>
      <w:r w:rsidRPr="00010D07">
        <w:rPr>
          <w:rFonts w:ascii="Cambria" w:hAnsi="Cambria" w:cs="Times New Roman"/>
          <w:b/>
          <w:bCs/>
        </w:rPr>
        <w:t>за 2013 – 2014 учебный год</w:t>
      </w:r>
    </w:p>
    <w:p w:rsidR="000330A3" w:rsidRPr="00716B6D" w:rsidRDefault="00672C83" w:rsidP="000330A3">
      <w:pPr>
        <w:pStyle w:val="ConsPlusNormal"/>
        <w:ind w:firstLine="540"/>
        <w:jc w:val="both"/>
        <w:rPr>
          <w:rFonts w:ascii="Cambria" w:hAnsi="Cambria" w:cs="Times New Roman"/>
          <w:u w:val="single"/>
        </w:rPr>
      </w:pPr>
      <w:r w:rsidRPr="00716B6D">
        <w:rPr>
          <w:rFonts w:ascii="Cambria" w:hAnsi="Cambria" w:cs="Times New Roman"/>
          <w:u w:val="single"/>
        </w:rPr>
        <w:t>Аналитическая справка</w:t>
      </w:r>
    </w:p>
    <w:p w:rsidR="00672C83" w:rsidRDefault="00672C83" w:rsidP="000330A3">
      <w:pPr>
        <w:pStyle w:val="ConsPlusNormal"/>
        <w:ind w:firstLine="5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Муниципальное казённое общеобразовательное учреждение средняя общеобразовательная школа пгт Верхошижемье Кировской области имени И.С. Березина</w:t>
      </w:r>
      <w:bookmarkStart w:id="1" w:name="_GoBack"/>
      <w:bookmarkEnd w:id="1"/>
      <w:r w:rsidR="00716B6D">
        <w:rPr>
          <w:rFonts w:ascii="Cambria" w:hAnsi="Cambria" w:cs="Times New Roman"/>
        </w:rPr>
        <w:t>.</w:t>
      </w:r>
    </w:p>
    <w:p w:rsidR="00716B6D" w:rsidRP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 xml:space="preserve">Руководитель: </w:t>
      </w:r>
      <w:r>
        <w:rPr>
          <w:rFonts w:ascii="Cambria" w:hAnsi="Cambria"/>
          <w:sz w:val="20"/>
          <w:szCs w:val="24"/>
        </w:rPr>
        <w:t>Орлова Ирина Александровна</w:t>
      </w:r>
    </w:p>
    <w:p w:rsid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 xml:space="preserve">(Приказ </w:t>
      </w:r>
      <w:r>
        <w:rPr>
          <w:rFonts w:ascii="Cambria" w:hAnsi="Cambria"/>
          <w:sz w:val="20"/>
          <w:szCs w:val="24"/>
        </w:rPr>
        <w:t xml:space="preserve">Управления образования администрации Верхошижемского района </w:t>
      </w:r>
      <w:r w:rsidRPr="00716B6D">
        <w:rPr>
          <w:rFonts w:ascii="Cambria" w:hAnsi="Cambria"/>
          <w:sz w:val="20"/>
          <w:szCs w:val="24"/>
        </w:rPr>
        <w:t>о назначении №</w:t>
      </w:r>
      <w:r>
        <w:rPr>
          <w:rFonts w:ascii="Cambria" w:hAnsi="Cambria"/>
          <w:sz w:val="20"/>
          <w:szCs w:val="24"/>
        </w:rPr>
        <w:t>12</w:t>
      </w:r>
      <w:r w:rsidRPr="00716B6D">
        <w:rPr>
          <w:rFonts w:ascii="Cambria" w:hAnsi="Cambria"/>
          <w:sz w:val="20"/>
          <w:szCs w:val="24"/>
        </w:rPr>
        <w:t xml:space="preserve"> от </w:t>
      </w:r>
      <w:r>
        <w:rPr>
          <w:rFonts w:ascii="Cambria" w:hAnsi="Cambria"/>
          <w:sz w:val="20"/>
          <w:szCs w:val="24"/>
        </w:rPr>
        <w:t>31.08</w:t>
      </w:r>
      <w:r w:rsidRPr="00716B6D">
        <w:rPr>
          <w:rFonts w:ascii="Cambria" w:hAnsi="Cambria"/>
          <w:sz w:val="20"/>
          <w:szCs w:val="24"/>
        </w:rPr>
        <w:t xml:space="preserve">.2008г.) </w:t>
      </w:r>
    </w:p>
    <w:p w:rsidR="00716B6D" w:rsidRP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>Уровни образования: начальное общее, основное общее, среднее (полное) общее.</w:t>
      </w:r>
    </w:p>
    <w:p w:rsidR="00716B6D" w:rsidRP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 xml:space="preserve">Формы обучения: </w:t>
      </w:r>
      <w:proofErr w:type="gramStart"/>
      <w:r w:rsidRPr="00716B6D">
        <w:rPr>
          <w:rFonts w:ascii="Cambria" w:hAnsi="Cambria"/>
          <w:sz w:val="20"/>
          <w:szCs w:val="24"/>
        </w:rPr>
        <w:t>очная</w:t>
      </w:r>
      <w:proofErr w:type="gramEnd"/>
      <w:r w:rsidRPr="00716B6D">
        <w:rPr>
          <w:rFonts w:ascii="Cambria" w:hAnsi="Cambria"/>
          <w:sz w:val="20"/>
          <w:szCs w:val="24"/>
        </w:rPr>
        <w:t xml:space="preserve"> (в том числе обучение на дому).</w:t>
      </w:r>
    </w:p>
    <w:p w:rsidR="00716B6D" w:rsidRP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>Обучение осуществляется на русском языке.</w:t>
      </w:r>
    </w:p>
    <w:p w:rsid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proofErr w:type="gramStart"/>
      <w:r w:rsidRPr="00716B6D">
        <w:rPr>
          <w:rFonts w:ascii="Cambria" w:hAnsi="Cambria"/>
          <w:sz w:val="20"/>
          <w:szCs w:val="24"/>
        </w:rPr>
        <w:t xml:space="preserve">Нормативный срок обучения: 1 ступень (начальное общее образование) - 4 года, 2 ступень (основное общее образование) - 5 лет, 3 ступень (среднее (полное) общее образование) - 2 года. </w:t>
      </w:r>
      <w:proofErr w:type="gramEnd"/>
    </w:p>
    <w:p w:rsid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>В 2013-2014 учебном году обучение в 1-3 классах осуществляется в соответствии с ФГОС НОО, в 4-11 классах обучение осуществляется в соответствии с ГОС-2004.</w:t>
      </w:r>
    </w:p>
    <w:p w:rsid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>Реализуемые образовательные программы. Школа реализует образовательные программы начального общего образования, основного общего образования, среднего (полного) общего образования, имеет право на выдачу выпускникам документа государственного образца: аттестат об основном общем образовании, аттестат о среднем (полном) общем образовании и на пользование печатью с изображением герба Российской Федерации.</w:t>
      </w:r>
      <w:r>
        <w:rPr>
          <w:rFonts w:ascii="Cambria" w:hAnsi="Cambria"/>
          <w:sz w:val="20"/>
          <w:szCs w:val="24"/>
        </w:rPr>
        <w:t xml:space="preserve"> </w:t>
      </w:r>
    </w:p>
    <w:p w:rsidR="00716B6D" w:rsidRP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>Режим работы</w:t>
      </w:r>
    </w:p>
    <w:p w:rsidR="00716B6D" w:rsidRP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 xml:space="preserve">Школа функционирует в режиме 6-дневной рабочей недели. </w:t>
      </w:r>
    </w:p>
    <w:p w:rsidR="00716B6D" w:rsidRP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>Форма обучения - очная.</w:t>
      </w:r>
    </w:p>
    <w:p w:rsidR="00716B6D" w:rsidRPr="00716B6D" w:rsidRDefault="00716B6D" w:rsidP="00716B6D">
      <w:pPr>
        <w:spacing w:after="0" w:line="240" w:lineRule="auto"/>
        <w:ind w:firstLine="709"/>
        <w:jc w:val="both"/>
        <w:rPr>
          <w:rFonts w:ascii="Cambria" w:hAnsi="Cambria"/>
          <w:sz w:val="20"/>
          <w:szCs w:val="24"/>
        </w:rPr>
      </w:pPr>
      <w:r w:rsidRPr="00716B6D">
        <w:rPr>
          <w:rFonts w:ascii="Cambria" w:hAnsi="Cambria"/>
          <w:sz w:val="20"/>
          <w:szCs w:val="24"/>
        </w:rPr>
        <w:t>Продолжительность уроков составляет 35-4</w:t>
      </w:r>
      <w:r>
        <w:rPr>
          <w:rFonts w:ascii="Cambria" w:hAnsi="Cambria"/>
          <w:sz w:val="20"/>
          <w:szCs w:val="24"/>
        </w:rPr>
        <w:t>0</w:t>
      </w:r>
      <w:r w:rsidRPr="00716B6D">
        <w:rPr>
          <w:rFonts w:ascii="Cambria" w:hAnsi="Cambria"/>
          <w:sz w:val="20"/>
          <w:szCs w:val="24"/>
        </w:rPr>
        <w:t xml:space="preserve"> минут. Уроки ведутся в 2 смены. </w:t>
      </w:r>
    </w:p>
    <w:p w:rsidR="00716B6D" w:rsidRPr="00010D07" w:rsidRDefault="00716B6D" w:rsidP="000330A3">
      <w:pPr>
        <w:pStyle w:val="ConsPlusNormal"/>
        <w:ind w:firstLine="540"/>
        <w:jc w:val="both"/>
        <w:rPr>
          <w:rFonts w:ascii="Cambria" w:hAnsi="Cambria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19"/>
        <w:gridCol w:w="7031"/>
        <w:gridCol w:w="1589"/>
      </w:tblGrid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 xml:space="preserve">N </w:t>
            </w:r>
            <w:proofErr w:type="gramStart"/>
            <w:r w:rsidRPr="00010D07">
              <w:rPr>
                <w:rFonts w:ascii="Cambria" w:hAnsi="Cambria" w:cs="Times New Roman"/>
              </w:rPr>
              <w:t>п</w:t>
            </w:r>
            <w:proofErr w:type="gramEnd"/>
            <w:r w:rsidRPr="00010D07">
              <w:rPr>
                <w:rFonts w:ascii="Cambria" w:hAnsi="Cambria" w:cs="Times New Roman"/>
              </w:rPr>
              <w:t>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Показатели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Единица измерения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outlineLvl w:val="1"/>
              <w:rPr>
                <w:rFonts w:ascii="Cambria" w:hAnsi="Cambria" w:cs="Times New Roman"/>
              </w:rPr>
            </w:pPr>
            <w:bookmarkStart w:id="2" w:name="Par200"/>
            <w:bookmarkEnd w:id="2"/>
            <w:r w:rsidRPr="00010D07">
              <w:rPr>
                <w:rFonts w:ascii="Cambria" w:hAnsi="Cambria" w:cs="Times New Roman"/>
              </w:rP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Образовательная деятельность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Общая численность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0330A3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438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0330A3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190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0330A3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211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37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0330A3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173/39,5%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F1D02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3,89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F1D02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3,23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F1D02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62,4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F1D02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45,07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F1D02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0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0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F1D02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0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0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  <w:p w:rsidR="00CF1D02" w:rsidRPr="00010D07" w:rsidRDefault="00CF1D02" w:rsidP="00F666CF">
            <w:pPr>
              <w:pStyle w:val="ConsPlusNormal"/>
              <w:jc w:val="center"/>
              <w:rPr>
                <w:rFonts w:ascii="Cambria" w:hAnsi="Cambria" w:cs="Times New Roman"/>
                <w:color w:val="FF0000"/>
              </w:rPr>
            </w:pP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0/0%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 xml:space="preserve">Численность/удельный вес численности выпускников 11 класса, получивших результаты ниже установленного минимального количества </w:t>
            </w:r>
            <w:r w:rsidRPr="00010D07">
              <w:rPr>
                <w:rFonts w:ascii="Cambria" w:hAnsi="Cambria" w:cs="Times New Roman"/>
              </w:rPr>
              <w:lastRenderedPageBreak/>
              <w:t>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lastRenderedPageBreak/>
              <w:t>0/0%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lastRenderedPageBreak/>
              <w:t>1.14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F1D02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0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0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0/0%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0330A3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4/9,1%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3/20%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126C8B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383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87,4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126C8B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147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33,6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Регионального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126C8B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77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17,6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Федерального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126C8B" w:rsidP="00126C8B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69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15,7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1.19.3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Международного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126C8B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0,2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424A2D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0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0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37/8,4%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0/0%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0/0%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Общая численность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40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993D43" w:rsidP="00993D43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33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82,5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993D4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31/ 77,5%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993D4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7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17,5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993D4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6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15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993D4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28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70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Высшая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8/20%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1.29.2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Первая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424A2D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20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50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1.30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73DEB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18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45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1.30.1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До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4/10%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1.30.2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Свыше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73DEB" w:rsidP="00C73DEB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14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35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1.31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73DEB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7,5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1.32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 xml:space="preserve">Численность/удельный вес численности педагогических работников в </w:t>
            </w:r>
            <w:r w:rsidRPr="00010D07">
              <w:rPr>
                <w:rFonts w:ascii="Cambria" w:hAnsi="Cambria" w:cs="Times New Roman"/>
              </w:rPr>
              <w:lastRenderedPageBreak/>
              <w:t>общей численности педагогических работников в возрасте от 55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73DEB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lastRenderedPageBreak/>
              <w:t>8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20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lastRenderedPageBreak/>
              <w:t>1.33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proofErr w:type="gramStart"/>
            <w:r w:rsidRPr="00010D07">
              <w:rPr>
                <w:rFonts w:ascii="Cambria" w:hAnsi="Cambria" w:cs="Times New Roman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C73DEB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34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85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1.34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B05799" w:rsidP="00B05799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23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57,5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outlineLvl w:val="1"/>
              <w:rPr>
                <w:rFonts w:ascii="Cambria" w:hAnsi="Cambria" w:cs="Times New Roman"/>
              </w:rPr>
            </w:pPr>
            <w:bookmarkStart w:id="3" w:name="Par326"/>
            <w:bookmarkEnd w:id="3"/>
            <w:r w:rsidRPr="00010D07">
              <w:rPr>
                <w:rFonts w:ascii="Cambria" w:hAnsi="Cambria" w:cs="Times New Roman"/>
              </w:rPr>
              <w:t>2.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Инфраструктура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Количество компьютеров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644D0D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0,11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644D0D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23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нет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Наличие читального зала библиотеки,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435206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да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2.4.1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нет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2.4.2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 xml:space="preserve">С </w:t>
            </w:r>
            <w:proofErr w:type="spellStart"/>
            <w:r w:rsidRPr="00010D07">
              <w:rPr>
                <w:rFonts w:ascii="Cambria" w:hAnsi="Cambria" w:cs="Times New Roman"/>
              </w:rPr>
              <w:t>медиатекой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нет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2.4.3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Оснащенного средствами сканирования и распознавания текстов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435206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да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2.4.4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435206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да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2.4.5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С контролируемой распечаткой бумажных материалов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424A2D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да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424A2D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438</w:t>
            </w:r>
            <w:r w:rsidR="000330A3" w:rsidRPr="00010D07">
              <w:rPr>
                <w:rFonts w:ascii="Cambria" w:hAnsi="Cambria" w:cs="Times New Roman"/>
              </w:rPr>
              <w:t>/</w:t>
            </w:r>
            <w:r w:rsidRPr="00010D07">
              <w:rPr>
                <w:rFonts w:ascii="Cambria" w:hAnsi="Cambria" w:cs="Times New Roman"/>
              </w:rPr>
              <w:t xml:space="preserve"> 100</w:t>
            </w:r>
            <w:r w:rsidR="000330A3" w:rsidRPr="00010D07">
              <w:rPr>
                <w:rFonts w:ascii="Cambria" w:hAnsi="Cambria" w:cs="Times New Roman"/>
              </w:rPr>
              <w:t>%</w:t>
            </w:r>
          </w:p>
        </w:tc>
      </w:tr>
      <w:tr w:rsidR="000330A3" w:rsidRPr="00010D07" w:rsidTr="00F666CF">
        <w:trPr>
          <w:tblCellSpacing w:w="5" w:type="nil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2.6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0330A3" w:rsidP="00F666CF">
            <w:pPr>
              <w:pStyle w:val="ConsPlusNormal"/>
              <w:jc w:val="both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0A3" w:rsidRPr="00010D07" w:rsidRDefault="00424A2D" w:rsidP="00F666CF">
            <w:pPr>
              <w:pStyle w:val="ConsPlusNormal"/>
              <w:jc w:val="center"/>
              <w:rPr>
                <w:rFonts w:ascii="Cambria" w:hAnsi="Cambria" w:cs="Times New Roman"/>
              </w:rPr>
            </w:pPr>
            <w:r w:rsidRPr="00010D07">
              <w:rPr>
                <w:rFonts w:ascii="Cambria" w:hAnsi="Cambria" w:cs="Times New Roman"/>
              </w:rPr>
              <w:t xml:space="preserve">6,09 </w:t>
            </w:r>
            <w:r w:rsidR="000330A3" w:rsidRPr="00010D07">
              <w:rPr>
                <w:rFonts w:ascii="Cambria" w:hAnsi="Cambria" w:cs="Times New Roman"/>
              </w:rPr>
              <w:t>кв. м</w:t>
            </w:r>
          </w:p>
        </w:tc>
      </w:tr>
    </w:tbl>
    <w:p w:rsidR="00C66B0E" w:rsidRPr="00010D07" w:rsidRDefault="00C66B0E">
      <w:pPr>
        <w:rPr>
          <w:rFonts w:ascii="Cambria" w:hAnsi="Cambria" w:cs="Times New Roman"/>
        </w:rPr>
      </w:pPr>
    </w:p>
    <w:sectPr w:rsidR="00C66B0E" w:rsidRPr="00010D07" w:rsidSect="00010D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0330A3"/>
    <w:rsid w:val="00010D07"/>
    <w:rsid w:val="000330A3"/>
    <w:rsid w:val="00126C8B"/>
    <w:rsid w:val="00424A2D"/>
    <w:rsid w:val="00435206"/>
    <w:rsid w:val="00644D0D"/>
    <w:rsid w:val="00672C83"/>
    <w:rsid w:val="00716B6D"/>
    <w:rsid w:val="00993D43"/>
    <w:rsid w:val="009D2F40"/>
    <w:rsid w:val="009E48FE"/>
    <w:rsid w:val="00B05799"/>
    <w:rsid w:val="00C66B0E"/>
    <w:rsid w:val="00C73DEB"/>
    <w:rsid w:val="00CF1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0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shkola</Company>
  <LinksUpToDate>false</LinksUpToDate>
  <CharactersWithSpaces>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8</cp:revision>
  <dcterms:created xsi:type="dcterms:W3CDTF">2014-08-09T05:58:00Z</dcterms:created>
  <dcterms:modified xsi:type="dcterms:W3CDTF">2014-08-13T04:02:00Z</dcterms:modified>
</cp:coreProperties>
</file>